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  <w:color w:val="392c69"/>
                <w:b w:val="on"/>
              </w:rPr>
              <w:t xml:space="preserve">Актуально на 08.01.2025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Как отразить продажу металлолома организацией - плательщиком налога на добавленную стоимость?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данным бухучета чистая возможная цена продажи металлолома (отходы основного производства) составляет 70 000 руб. Это соответствует его стоимости в налоговом учете. Металлолом продан специализированной организации за 80 000 руб. (без учета НДС). В налоговом учете применяется метод начисления.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  <w:b w:val="on"/>
        </w:rPr>
        <w:t xml:space="preserve">Бухгалтерский учет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дату передачи металлолома специализированной компании организация признает прочий доход от его продажи в сумме, установленной договором купли-продажи (</w:t>
      </w:r>
      <w:hyperlink w:history="0" r:id="rId6" w:tooltip="Приказ Минфина России от 06.05.1999 N 32н (ред. от 27.11.2020) &quot;Об утверждении Положения по бухгалтерскому учету &quot;Доходы организации&quot; ПБУ 9/99&quot; (Зарегистрировано в Минюсте России 31.05.1999 N 1791) {КонсультантПлюс}">
        <w:r>
          <w:rPr>
            <w:sz w:val="20"/>
            <w:color w:val="0000ff"/>
          </w:rPr>
          <w:t xml:space="preserve">п. п. 7</w:t>
        </w:r>
      </w:hyperlink>
      <w:r>
        <w:rPr>
          <w:sz w:val="20"/>
        </w:rPr>
        <w:t xml:space="preserve">, </w:t>
      </w:r>
      <w:hyperlink w:history="0" r:id="rId7" w:tooltip="Приказ Минфина России от 06.05.1999 N 32н (ред. от 27.11.2020) &quot;Об утверждении Положения по бухгалтерскому учету &quot;Доходы организации&quot; ПБУ 9/99&quot; (Зарегистрировано в Минюсте России 31.05.1999 N 1791) {КонсультантПлюс}">
        <w:r>
          <w:rPr>
            <w:sz w:val="20"/>
            <w:color w:val="0000ff"/>
          </w:rPr>
          <w:t xml:space="preserve">10.1</w:t>
        </w:r>
      </w:hyperlink>
      <w:r>
        <w:rPr>
          <w:sz w:val="20"/>
        </w:rPr>
        <w:t xml:space="preserve">, </w:t>
      </w:r>
      <w:hyperlink w:history="0" r:id="rId8" w:tooltip="Приказ Минфина России от 06.05.1999 N 32н (ред. от 27.11.2020) &quot;Об утверждении Положения по бухгалтерскому учету &quot;Доходы организации&quot; ПБУ 9/99&quot; (Зарегистрировано в Минюсте России 31.05.1999 N 1791) {КонсультантПлюс}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Положения по бухгалтерскому учету "Доходы организации" ПБУ 9/99, утвержденного Приказом Минфина России от 06.05.1999 N 32н). При этом отражается дебиторская задолженность покупателя.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Балансовая стоимость металлолома признается прочим расходом в периоде его продажи (</w:t>
      </w:r>
      <w:hyperlink w:history="0" r:id="rId9" w:tooltip="Приказ Минфина России от 15.11.2019 N 180н &quot;Об утверждении Федерального стандарта бухгалтерского учета ФСБУ 5/2019 &quot;Запасы&quot; (вместе с &quot;ФСБУ 5/2019...&quot;) (Зарегистрировано в Минюсте России 25.03.2020 N 57837) {КонсультантПлюс}">
        <w:r>
          <w:rPr>
            <w:sz w:val="20"/>
            <w:color w:val="0000ff"/>
          </w:rPr>
          <w:t xml:space="preserve">пп. "а" п. 43</w:t>
        </w:r>
      </w:hyperlink>
      <w:r>
        <w:rPr>
          <w:sz w:val="20"/>
        </w:rPr>
        <w:t xml:space="preserve"> ФСБУ 5/2019 "Запасы", утвержденного Приказом Минфина России от 15.11.2019 N 180н, </w:t>
      </w:r>
      <w:hyperlink w:history="0" r:id="rId10" w:tooltip="Приказ Минфина России от 06.05.1999 N 33н (ред. от 06.04.2015) &quot;Об утверждении Положения по бухгалтерскому учету &quot;Расходы организации&quot; ПБУ 10/99&quot; (Зарегистрировано в Минюсте России 31.05.1999 N 1790) {КонсультантПлюс}">
        <w:r>
          <w:rPr>
            <w:sz w:val="20"/>
            <w:color w:val="0000ff"/>
          </w:rPr>
          <w:t xml:space="preserve">п. п. 11</w:t>
        </w:r>
      </w:hyperlink>
      <w:r>
        <w:rPr>
          <w:sz w:val="20"/>
        </w:rPr>
        <w:t xml:space="preserve">, </w:t>
      </w:r>
      <w:hyperlink w:history="0" r:id="rId11" w:tooltip="Приказ Минфина России от 06.05.1999 N 33н (ред. от 06.04.2015) &quot;Об утверждении Положения по бухгалтерскому учету &quot;Расходы организации&quot; ПБУ 10/99&quot; (Зарегистрировано в Минюсте России 31.05.1999 N 1790) {КонсультантПлюс}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, </w:t>
      </w:r>
      <w:hyperlink w:history="0" r:id="rId12" w:tooltip="Приказ Минфина России от 06.05.1999 N 33н (ред. от 06.04.2015) &quot;Об утверждении Положения по бухгалтерскому учету &quot;Расходы организации&quot; ПБУ 10/99&quot; (Зарегистрировано в Минюсте России 31.05.1999 N 1790) {КонсультантПлюс}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 Положения по бухгалтерскому учету "Расходы организации" ПБУ 10/99, утвержденного Приказом Минфина России от 06.05.1999 N 33н).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Задолженность покупателя погашается, когда он перечисляет денежные средства за 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Бухгалтерские записи по рассматриваемым операциям производятся в соответствии с </w:t>
      </w:r>
      <w:hyperlink w:history="0" r:id="rId13" w:tooltip="Приказ Минфина РФ от 31.10.2000 N 94н (ред. от 08.11.2010) &quot;Об утверждении Плана счетов бухгалтерского учета финансово-хозяйственной деятельности организаций и Инструкции по его применению&quot; {КонсультантПлюс}">
        <w:r>
          <w:rPr>
            <w:sz w:val="20"/>
            <w:color w:val="0000ff"/>
          </w:rPr>
          <w:t xml:space="preserve">Инструкцией</w:t>
        </w:r>
      </w:hyperlink>
      <w:r>
        <w:rPr>
          <w:sz w:val="20"/>
        </w:rPr>
        <w:t xml:space="preserve"> по применению Плана счетов бухгалтерского учета финансово-хозяйственной деятельности организаций, утвержденной Приказом Минфина России от 31.10.2000 N 94н. Они приведены ниже в таблице проводок.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b w:val="on"/>
        </w:rPr>
        <w:t xml:space="preserve">Налог на добавленную стоимость (НДС)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товаров на территории РФ признается объектом обложения НДС (</w:t>
      </w:r>
      <w:hyperlink w:history="0" r:id="rId14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пп. 1 п. 1 ст. 146</w:t>
        </w:r>
      </w:hyperlink>
      <w:r>
        <w:rPr>
          <w:sz w:val="20"/>
        </w:rPr>
        <w:t xml:space="preserve">, </w:t>
      </w:r>
      <w:hyperlink w:history="0" r:id="rId15" w:tooltip="&quot;Налоговый кодекс Российской Федерации (часть первая)&quot; от 31.07.1998 N 146-ФЗ (ред. от 29.11.2024) {КонсультантПлюс}">
        <w:r>
          <w:rPr>
            <w:sz w:val="20"/>
            <w:color w:val="0000ff"/>
          </w:rPr>
          <w:t xml:space="preserve">п. 3 ст. 38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рассматриваемой ситуации продавец при реализации металлолома НДС не исчисляет. Налоговая база определяется налоговым агентом, которым является организация - покупатель металлолома, исходя из стоимости реализуемого лома, установленной договором (с учетом налога). Налоговый агент обязан исчислить расчетным методом и уплатить в бюджет соответствующую сумму НДС (</w:t>
      </w:r>
      <w:hyperlink w:history="0" r:id="rId16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8 ст. 161</w:t>
        </w:r>
      </w:hyperlink>
      <w:r>
        <w:rPr>
          <w:sz w:val="20"/>
        </w:rPr>
        <w:t xml:space="preserve">, </w:t>
      </w:r>
      <w:hyperlink w:history="0" r:id="rId17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3.1 ст. 166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Продавец металлолома составляет счет-фактуру без учета суммы НДС. В этом счете-фактуре делается надпись или ставится штамп "НДС исчисляется налоговым агентом" (</w:t>
      </w:r>
      <w:hyperlink w:history="0" r:id="rId18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5 ст. 168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Дополнительно о порядке заполнения налоговой декларации по НДС при реализации металлолома плательщиком НДС см. </w:t>
      </w:r>
      <w:hyperlink w:history="0" r:id="rId19" w:tooltip="&lt;Письмо&gt; ФНС России от 19.04.2018 N СД-4-3/7484@ &quot;О порядке заполнения налоговой декларации по НДС налоговыми агентами, указанными в пункте 8 статьи 161 НК РФ&quot; {КонсультантПлюс}">
        <w:r>
          <w:rPr>
            <w:sz w:val="20"/>
            <w:color w:val="0000ff"/>
          </w:rPr>
          <w:t xml:space="preserve">п. 1</w:t>
        </w:r>
      </w:hyperlink>
      <w:r>
        <w:rPr>
          <w:sz w:val="20"/>
        </w:rPr>
        <w:t xml:space="preserve"> Письма ФНС России от 19.04.2018 N СД-4-3/7484@.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b w:val="on"/>
        </w:rPr>
        <w:t xml:space="preserve">Налог на прибыль организаций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дату перехода права собственности на металлолом к специализированной компании организация признает выручку от его реализации в сумме, установленной договором (</w:t>
      </w:r>
      <w:hyperlink w:history="0" r:id="rId20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пп. 1 п. 1 ст. 248</w:t>
        </w:r>
      </w:hyperlink>
      <w:r>
        <w:rPr>
          <w:sz w:val="20"/>
        </w:rPr>
        <w:t xml:space="preserve">, </w:t>
      </w:r>
      <w:hyperlink w:history="0" r:id="rId21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п. 1</w:t>
        </w:r>
      </w:hyperlink>
      <w:r>
        <w:rPr>
          <w:sz w:val="20"/>
        </w:rPr>
        <w:t xml:space="preserve">, </w:t>
      </w:r>
      <w:hyperlink w:history="0" r:id="rId22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2 ст. 249</w:t>
        </w:r>
      </w:hyperlink>
      <w:r>
        <w:rPr>
          <w:sz w:val="20"/>
        </w:rPr>
        <w:t xml:space="preserve">, </w:t>
      </w:r>
      <w:hyperlink w:history="0" r:id="rId23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3 ст. 271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Указанный доход уменьшается на стоимость реализованного металлолома, которая определяется как сумма внереализационного дохода, признанного при принятии лома к учету (</w:t>
      </w:r>
      <w:hyperlink w:history="0" r:id="rId24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п. 2 ст. 254</w:t>
        </w:r>
      </w:hyperlink>
      <w:r>
        <w:rPr>
          <w:sz w:val="20"/>
        </w:rPr>
        <w:t xml:space="preserve">, </w:t>
      </w:r>
      <w:hyperlink w:history="0" r:id="rId25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пп. 2 п. 1 ст. 268</w:t>
        </w:r>
      </w:hyperlink>
      <w:r>
        <w:rPr>
          <w:sz w:val="20"/>
        </w:rPr>
        <w:t xml:space="preserve"> НК РФ).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91"/>
        <w:gridCol w:w="1190"/>
        <w:gridCol w:w="1190"/>
        <w:gridCol w:w="1417"/>
        <w:gridCol w:w="2381"/>
      </w:tblGrid>
      <w:tr>
        <w:tc>
          <w:tcPr>
            <w:tcW w:w="28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операций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Дебет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Кредит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Сумма, руб.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Первичный документ</w:t>
            </w:r>
          </w:p>
        </w:tc>
      </w:tr>
      <w:tr>
        <w:tc>
          <w:tcPr>
            <w:tcW w:w="289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Признан прочий доход от продажи металлолома</w:t>
            </w:r>
          </w:p>
        </w:tc>
        <w:tc>
          <w:tcPr>
            <w:tcW w:w="1190" w:type="dxa"/>
            <w:vAlign w:val="bottom"/>
          </w:tcPr>
          <w:p>
            <w:pPr>
              <w:pStyle w:val="0"/>
              <w:jc w:val="center"/>
            </w:pPr>
            <w:hyperlink w:history="0" r:id="rId26" w:tooltip="Приказ Минфина РФ от 31.10.2000 N 94н (ред. от 08.11.2010) &quot;Об утверждении Плана счетов бухгалтерского учета финансово-хозяйственной деятельности организаций и Инструкции по его применению&quot; {КонсультантПлюс}">
              <w:r>
                <w:rPr>
                  <w:sz w:val="20"/>
                  <w:color w:val="0000ff"/>
                </w:rPr>
                <w:t xml:space="preserve">62</w:t>
              </w:r>
            </w:hyperlink>
          </w:p>
        </w:tc>
        <w:tc>
          <w:tcPr>
            <w:tcW w:w="1190" w:type="dxa"/>
            <w:vAlign w:val="bottom"/>
          </w:tcPr>
          <w:p>
            <w:pPr>
              <w:pStyle w:val="0"/>
              <w:jc w:val="center"/>
            </w:pPr>
            <w:hyperlink w:history="0" r:id="rId27" w:tooltip="Приказ Минфина РФ от 31.10.2000 N 94н (ред. от 08.11.2010) &quot;Об утверждении Плана счетов бухгалтерского учета финансово-хозяйственной деятельности организаций и Инструкции по его применению&quot; {КонсультантПлюс}">
              <w:r>
                <w:rPr>
                  <w:sz w:val="20"/>
                  <w:color w:val="0000ff"/>
                </w:rPr>
                <w:t xml:space="preserve">91-1</w:t>
              </w:r>
            </w:hyperlink>
          </w:p>
        </w:tc>
        <w:tc>
          <w:tcPr>
            <w:tcW w:w="141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80 000</w:t>
            </w:r>
          </w:p>
        </w:tc>
        <w:tc>
          <w:tcPr>
            <w:tcW w:w="2381" w:type="dxa"/>
            <w:vAlign w:val="bottom"/>
          </w:tcPr>
          <w:p>
            <w:pPr>
              <w:pStyle w:val="0"/>
              <w:jc w:val="center"/>
            </w:pPr>
            <w:hyperlink w:history="0" r:id="rId28" w:tooltip="Постановление Госкомстата РФ от 30.10.1997 N 71а (ред. от 21.01.2003) &quot;Об утверждении унифицированных форм первичной учетной документации по учету труда и его оплаты, основных средств и нематериальных активов, материалов, малоценных и быстроизнашивающихся предметов, работ в капитальном строительстве&quot; {КонсультантПлюс}">
              <w:r>
                <w:rPr>
                  <w:sz w:val="20"/>
                  <w:color w:val="0000ff"/>
                </w:rPr>
                <w:t xml:space="preserve">Накладная</w:t>
              </w:r>
            </w:hyperlink>
            <w:r>
              <w:rPr>
                <w:sz w:val="20"/>
              </w:rPr>
              <w:t xml:space="preserve"> на отпуск материалов на сторону</w:t>
            </w:r>
          </w:p>
        </w:tc>
      </w:tr>
      <w:tr>
        <w:tc>
          <w:tcPr>
            <w:tcW w:w="289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Списана балансовая стоимость металлолома</w:t>
            </w:r>
          </w:p>
        </w:tc>
        <w:tc>
          <w:tcPr>
            <w:tcW w:w="1190" w:type="dxa"/>
            <w:vAlign w:val="bottom"/>
          </w:tcPr>
          <w:p>
            <w:pPr>
              <w:pStyle w:val="0"/>
              <w:jc w:val="center"/>
            </w:pPr>
            <w:hyperlink w:history="0" r:id="rId29" w:tooltip="Приказ Минфина РФ от 31.10.2000 N 94н (ред. от 08.11.2010) &quot;Об утверждении Плана счетов бухгалтерского учета финансово-хозяйственной деятельности организаций и Инструкции по его применению&quot; {КонсультантПлюс}">
              <w:r>
                <w:rPr>
                  <w:sz w:val="20"/>
                  <w:color w:val="0000ff"/>
                </w:rPr>
                <w:t xml:space="preserve">91-2</w:t>
              </w:r>
            </w:hyperlink>
          </w:p>
        </w:tc>
        <w:tc>
          <w:tcPr>
            <w:tcW w:w="1190" w:type="dxa"/>
            <w:vAlign w:val="bottom"/>
          </w:tcPr>
          <w:p>
            <w:pPr>
              <w:pStyle w:val="0"/>
              <w:jc w:val="center"/>
            </w:pPr>
            <w:hyperlink w:history="0" r:id="rId30" w:tooltip="Приказ Минфина РФ от 31.10.2000 N 94н (ред. от 08.11.2010) &quot;Об утверждении Плана счетов бухгалтерского учета финансово-хозяйственной деятельности организаций и Инструкции по его применению&quot; {КонсультантПлюс}">
              <w:r>
                <w:rPr>
                  <w:sz w:val="20"/>
                  <w:color w:val="0000ff"/>
                </w:rPr>
                <w:t xml:space="preserve">10-6</w:t>
              </w:r>
            </w:hyperlink>
          </w:p>
        </w:tc>
        <w:tc>
          <w:tcPr>
            <w:tcW w:w="141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70 000</w:t>
            </w:r>
          </w:p>
        </w:tc>
        <w:tc>
          <w:tcPr>
            <w:tcW w:w="23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Бухгалтерская </w:t>
            </w:r>
            <w:hyperlink w:history="0" r:id="rId31" w:tooltip="Форма: Бухгалтерская справка (Подготовлен специалистами КонсультантПлюс, 2025) {КонсультантПлюс}">
              <w:r>
                <w:rPr>
                  <w:sz w:val="20"/>
                  <w:color w:val="0000ff"/>
                </w:rPr>
                <w:t xml:space="preserve">справка</w:t>
              </w:r>
            </w:hyperlink>
          </w:p>
        </w:tc>
      </w:tr>
      <w:tr>
        <w:tc>
          <w:tcPr>
            <w:tcW w:w="289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Получены денежные средства от покупателя металлолома</w:t>
            </w:r>
          </w:p>
        </w:tc>
        <w:tc>
          <w:tcPr>
            <w:tcW w:w="1190" w:type="dxa"/>
            <w:vAlign w:val="bottom"/>
          </w:tcPr>
          <w:p>
            <w:pPr>
              <w:pStyle w:val="0"/>
              <w:jc w:val="center"/>
            </w:pPr>
            <w:hyperlink w:history="0" r:id="rId32" w:tooltip="Приказ Минфина РФ от 31.10.2000 N 94н (ред. от 08.11.2010) &quot;Об утверждении Плана счетов бухгалтерского учета финансово-хозяйственной деятельности организаций и Инструкции по его применению&quot; {КонсультантПлюс}">
              <w:r>
                <w:rPr>
                  <w:sz w:val="20"/>
                  <w:color w:val="0000ff"/>
                </w:rPr>
                <w:t xml:space="preserve">51</w:t>
              </w:r>
            </w:hyperlink>
          </w:p>
        </w:tc>
        <w:tc>
          <w:tcPr>
            <w:tcW w:w="1190" w:type="dxa"/>
            <w:vAlign w:val="bottom"/>
          </w:tcPr>
          <w:p>
            <w:pPr>
              <w:pStyle w:val="0"/>
              <w:jc w:val="center"/>
            </w:pPr>
            <w:hyperlink w:history="0" r:id="rId33" w:tooltip="Приказ Минфина РФ от 31.10.2000 N 94н (ред. от 08.11.2010) &quot;Об утверждении Плана счетов бухгалтерского учета финансово-хозяйственной деятельности организаций и Инструкции по его применению&quot; {КонсультантПлюс}">
              <w:r>
                <w:rPr>
                  <w:sz w:val="20"/>
                  <w:color w:val="0000ff"/>
                </w:rPr>
                <w:t xml:space="preserve">62</w:t>
              </w:r>
            </w:hyperlink>
          </w:p>
        </w:tc>
        <w:tc>
          <w:tcPr>
            <w:tcW w:w="141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80 000</w:t>
            </w:r>
          </w:p>
        </w:tc>
        <w:tc>
          <w:tcPr>
            <w:tcW w:w="23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Выписка банка по расчетному счету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Т.Е. Меликовская</w:t>
      </w:r>
    </w:p>
    <w:p>
      <w:pPr>
        <w:pStyle w:val="0"/>
        <w:jc w:val="right"/>
      </w:pPr>
      <w:r>
        <w:rPr>
          <w:sz w:val="20"/>
        </w:rPr>
        <w:t xml:space="preserve">Консультационно-аналитический</w:t>
      </w:r>
    </w:p>
    <w:p>
      <w:pPr>
        <w:pStyle w:val="0"/>
        <w:jc w:val="right"/>
      </w:pPr>
      <w:r>
        <w:rPr>
          <w:sz w:val="20"/>
        </w:rPr>
        <w:t xml:space="preserve">центр по бухгалтерскому учету</w:t>
      </w:r>
    </w:p>
    <w:p>
      <w:pPr>
        <w:pStyle w:val="0"/>
        <w:jc w:val="right"/>
      </w:pPr>
      <w:r>
        <w:rPr>
          <w:sz w:val="20"/>
        </w:rPr>
        <w:t xml:space="preserve">и налогообложению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Корреспонденция счетов: Как отразить продажу металлолома организацией - плательщиком налога на добавленную стоимость?..</w:t>
            <w:br/>
            <w:t>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Корреспонденция счетов: Как отразить продажу металлолома организацией - плательщиком налога на добавленную стоимость?..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377253&amp;dst=100054" TargetMode = "External"/>
	<Relationship Id="rId7" Type="http://schemas.openxmlformats.org/officeDocument/2006/relationships/hyperlink" Target="https://login.consultant.ru/link/?req=doc&amp;base=LAW&amp;n=377253&amp;dst=100067" TargetMode = "External"/>
	<Relationship Id="rId8" Type="http://schemas.openxmlformats.org/officeDocument/2006/relationships/hyperlink" Target="https://login.consultant.ru/link/?req=doc&amp;base=LAW&amp;n=377253&amp;dst=100090" TargetMode = "External"/>
	<Relationship Id="rId9" Type="http://schemas.openxmlformats.org/officeDocument/2006/relationships/hyperlink" Target="https://login.consultant.ru/link/?req=doc&amp;base=LAW&amp;n=348523&amp;dst=100134" TargetMode = "External"/>
	<Relationship Id="rId10" Type="http://schemas.openxmlformats.org/officeDocument/2006/relationships/hyperlink" Target="https://login.consultant.ru/link/?req=doc&amp;base=LAW&amp;n=179199&amp;dst=100066" TargetMode = "External"/>
	<Relationship Id="rId11" Type="http://schemas.openxmlformats.org/officeDocument/2006/relationships/hyperlink" Target="https://login.consultant.ru/link/?req=doc&amp;base=LAW&amp;n=179199&amp;dst=100088" TargetMode = "External"/>
	<Relationship Id="rId12" Type="http://schemas.openxmlformats.org/officeDocument/2006/relationships/hyperlink" Target="https://login.consultant.ru/link/?req=doc&amp;base=LAW&amp;n=179199&amp;dst=100095" TargetMode = "External"/>
	<Relationship Id="rId13" Type="http://schemas.openxmlformats.org/officeDocument/2006/relationships/hyperlink" Target="https://login.consultant.ru/link/?req=doc&amp;base=LAW&amp;n=107972&amp;dst=100379" TargetMode = "External"/>
	<Relationship Id="rId14" Type="http://schemas.openxmlformats.org/officeDocument/2006/relationships/hyperlink" Target="https://login.consultant.ru/link/?req=doc&amp;base=LAW&amp;n=466890&amp;dst=100043" TargetMode = "External"/>
	<Relationship Id="rId15" Type="http://schemas.openxmlformats.org/officeDocument/2006/relationships/hyperlink" Target="https://login.consultant.ru/link/?req=doc&amp;base=LAW&amp;n=466838&amp;dst=1355" TargetMode = "External"/>
	<Relationship Id="rId16" Type="http://schemas.openxmlformats.org/officeDocument/2006/relationships/hyperlink" Target="https://login.consultant.ru/link/?req=doc&amp;base=LAW&amp;n=466890&amp;dst=14527" TargetMode = "External"/>
	<Relationship Id="rId17" Type="http://schemas.openxmlformats.org/officeDocument/2006/relationships/hyperlink" Target="https://login.consultant.ru/link/?req=doc&amp;base=LAW&amp;n=466890&amp;dst=14598" TargetMode = "External"/>
	<Relationship Id="rId18" Type="http://schemas.openxmlformats.org/officeDocument/2006/relationships/hyperlink" Target="https://login.consultant.ru/link/?req=doc&amp;base=LAW&amp;n=466890&amp;dst=14604" TargetMode = "External"/>
	<Relationship Id="rId19" Type="http://schemas.openxmlformats.org/officeDocument/2006/relationships/hyperlink" Target="https://login.consultant.ru/link/?req=doc&amp;base=LAW&amp;n=296314&amp;dst=100006" TargetMode = "External"/>
	<Relationship Id="rId20" Type="http://schemas.openxmlformats.org/officeDocument/2006/relationships/hyperlink" Target="https://login.consultant.ru/link/?req=doc&amp;base=LAW&amp;n=466890&amp;dst=101848" TargetMode = "External"/>
	<Relationship Id="rId21" Type="http://schemas.openxmlformats.org/officeDocument/2006/relationships/hyperlink" Target="https://login.consultant.ru/link/?req=doc&amp;base=LAW&amp;n=466890&amp;dst=101861" TargetMode = "External"/>
	<Relationship Id="rId22" Type="http://schemas.openxmlformats.org/officeDocument/2006/relationships/hyperlink" Target="https://login.consultant.ru/link/?req=doc&amp;base=LAW&amp;n=466890&amp;dst=101862" TargetMode = "External"/>
	<Relationship Id="rId23" Type="http://schemas.openxmlformats.org/officeDocument/2006/relationships/hyperlink" Target="https://login.consultant.ru/link/?req=doc&amp;base=LAW&amp;n=466890&amp;dst=102424" TargetMode = "External"/>
	<Relationship Id="rId24" Type="http://schemas.openxmlformats.org/officeDocument/2006/relationships/hyperlink" Target="https://login.consultant.ru/link/?req=doc&amp;base=LAW&amp;n=466890&amp;dst=9788" TargetMode = "External"/>
	<Relationship Id="rId25" Type="http://schemas.openxmlformats.org/officeDocument/2006/relationships/hyperlink" Target="https://login.consultant.ru/link/?req=doc&amp;base=LAW&amp;n=466890&amp;dst=12545" TargetMode = "External"/>
	<Relationship Id="rId26" Type="http://schemas.openxmlformats.org/officeDocument/2006/relationships/hyperlink" Target="https://login.consultant.ru/link/?req=doc&amp;base=LAW&amp;n=107972&amp;dst=101640" TargetMode = "External"/>
	<Relationship Id="rId27" Type="http://schemas.openxmlformats.org/officeDocument/2006/relationships/hyperlink" Target="https://login.consultant.ru/link/?req=doc&amp;base=LAW&amp;n=107972&amp;dst=102341" TargetMode = "External"/>
	<Relationship Id="rId28" Type="http://schemas.openxmlformats.org/officeDocument/2006/relationships/hyperlink" Target="https://login.consultant.ru/link/?req=doc&amp;base=LAW&amp;n=41168&amp;dst=102200" TargetMode = "External"/>
	<Relationship Id="rId29" Type="http://schemas.openxmlformats.org/officeDocument/2006/relationships/hyperlink" Target="https://login.consultant.ru/link/?req=doc&amp;base=LAW&amp;n=107972&amp;dst=102341" TargetMode = "External"/>
	<Relationship Id="rId30" Type="http://schemas.openxmlformats.org/officeDocument/2006/relationships/hyperlink" Target="https://login.consultant.ru/link/?req=doc&amp;base=LAW&amp;n=107972&amp;dst=100610" TargetMode = "External"/>
	<Relationship Id="rId31" Type="http://schemas.openxmlformats.org/officeDocument/2006/relationships/hyperlink" Target="https://login.consultant.ru/link/?req=doc&amp;base=PAP&amp;n=76386" TargetMode = "External"/>
	<Relationship Id="rId32" Type="http://schemas.openxmlformats.org/officeDocument/2006/relationships/hyperlink" Target="https://login.consultant.ru/link/?req=doc&amp;base=LAW&amp;n=107972&amp;dst=101385" TargetMode = "External"/>
	<Relationship Id="rId33" Type="http://schemas.openxmlformats.org/officeDocument/2006/relationships/hyperlink" Target="https://login.consultant.ru/link/?req=doc&amp;base=LAW&amp;n=107972&amp;dst=10164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Корреспонденция счетов: Как отразить продажу металлолома организацией - плательщиком налога на добавленную стоимость?..
(Консультация эксперта, 2025)</dc:title>
  <dcterms:created xsi:type="dcterms:W3CDTF">2025-01-10T11:15:46Z</dcterms:created>
</cp:coreProperties>
</file>